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401</w:t>
      </w:r>
    </w:p>
    <w:p>
      <w:r>
        <w:t>Bundesgericht (BGE), 2013-08-29, FR</w:t>
      </w:r>
    </w:p>
    <w:p>
      <w:r>
        <w:rPr>
          <w:b/>
        </w:rPr>
        <w:t xml:space="preserve">Quelle: </w:t>
      </w:r>
      <w:r>
        <w:t>https://mcp.opencaselaw.ch/entscheid/bge_139 III 401</w:t>
      </w:r>
    </w:p>
    <w:p>
      <w:r>
        <w:t>FR: ATF 139 III 401</w:t>
      </w:r>
    </w:p>
    <w:p>
      <w:r>
        <w:t>IT: DTF 139 III 401</w:t>
      </w:r>
    </w:p>
    <w:p>
      <w:pPr>
        <w:pStyle w:val="Heading2"/>
      </w:pPr>
      <w:r>
        <w:t>Regeste</w:t>
      </w:r>
    </w:p>
    <w:p>
      <w:r>
        <w:t>Regeste Art. 133 Abs. 1 Satz 2 und Art. 277 Abs. 2 ZGB; Ehescheidung; Unterhalt des Kindes über dessen Volljährigkeit hinaus. Auch wenn das Kind im Zeitpunkt der Scheidung sehr jung ist, kann der Unterhaltsbeitrag über die Volljährigkeit hinaus festgesetzt werden (Präzisierung der Rechtsprechung; E. 3.2).</w:t>
      </w:r>
    </w:p>
    <w:p>
      <w:pPr>
        <w:pStyle w:val="Heading2"/>
      </w:pPr>
      <w:r>
        <w:t>Erwägungen</w:t>
      </w:r>
    </w:p>
    <w:p>
      <w:r>
        <w:rPr>
          <w:b/>
        </w:rPr>
        <w:t>E. 3</w:t>
      </w:r>
    </w:p>
    <w:p>
      <w:r>
        <w:t>(...)</w:t>
      </w:r>
    </w:p>
    <w:p>
      <w:r>
        <w:rPr>
          <w:b/>
        </w:rPr>
        <w:t>E. 3.2</w:t>
      </w:r>
    </w:p>
    <w:p>
      <w:r>
        <w:t>(...) Le recourant reproche à la cour cantonale d'avoir prévu le versement de la contribution au-delà de la majorité en cas d'études sérieuses et régulières. Il souligne à cet égard qu'une telle éventualité apparaît difficilement envisageable vu la maladie dont souffre son fils et remarque qu'en tant qu'il sera déjà à la retraite si cette éventualité devait se concrétiser, son fils aurait alors le droit à une rente de sa caisse de pension.</w:t>
      </w:r>
    </w:p>
    <w:p>
      <w:r>
        <w:rPr>
          <w:b/>
        </w:rPr>
        <w:t>E. 3.2.1</w:t>
      </w:r>
    </w:p>
    <w:p>
      <w:r>
        <w:t>Sur appel de l'intimée, la cour cantonale a admis que le versement de la contribution destinée à l'enfant pouvait être prolongé BGE 139 III 401 S. 403 au-delà de sa majorité, mais au maximum jusqu'à 25 ans en cas d'études sérieuses et régulières. La cour a indiqué à cet égard qu'il n'était pas exclu qu'au regard d'un traitement futur et des progrès de la médecine, l'enfant pût suivre, après sa majorité, une formation adaptée à son handicap.</w:t>
      </w:r>
    </w:p>
    <w:p>
      <w:r>
        <w:rPr>
          <w:b/>
        </w:rPr>
        <w:t>E. 3.2.2</w:t>
      </w:r>
    </w:p>
    <w:p>
      <w:r>
        <w:t>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e phrase, CC). L'extension de cette capacité aux contributions d'entretien pour la période postérieure à la majorité de l'enfant a été introduite dans la loi lors de l'abaissement de l'âge de la majorité de vingt à dix-huit ans (cf. ancien art. 156 al. 2 CC et art. 14 CC , dans leur teneur selon la loi fédérale du 7 octobre 1994 entrée en vigueur le 1 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ATF 129 III 55 consid. 3.1.4; arrêt 5A_18/2011 du 1 er juin 2011 consid. 5.1.1). Avant l'introduction de cette disposition dans la loi, la jurisprudence avait d'ailleurs déjà admis, pour des motifs d'opportunité et d'économie de procédure, que le juge du divorce pût fixer, sur demande du représentant légal, la contribution d'entretien pour la période postérieure à la majorité de l'enfant dans certaines circonstances exceptionnelles bien précises, notamment lorsque l'enfant se trouvait proche de sa majorité au moment du jugement de divorce et qu'il poursuivait déjà une formation professionnelle dont la durée pouvait être déterminée ( ATF 112 II 199 consid. 2). La modification législative précitée, reprise en substance par l'art. 133 al. 1, 2 e phrase, CC ( ATF 129 III 55 consid. 3.1.4; arrêts 5A_104/2009 du 19 mars 2009 consid. 2.2, in FamPra.ch 2009 p. 798 et JdT 2009 I p. 439; 5A_18/2011 précité consid. 5.1.1), ne se limite pas à reprendre cette jurisprudence très limitée, mais va plus loin en admettant de manière générale l'attribution d'une telle contribution au-delà de la majorité (LÜCHINGER/GEISER, in Basler Kommentar, Schweizerisches Zivilgesetzbuch, vol. I, 1996, n° 20 ad ancien art. 156 CC , qui appuient leurs conclusions sur les débats parlementaires; PETER BREITSCHMID, in Basler Kommentar, Zivilgesetzbuch, vol. I, 4 e éd. 2010, n° 14 ad art. 133 CC ; DENIS PIOTET, in Commentaire romand, Code civil, vol. I, BGE 139 III 401 S. 404 2010, n° 6 ad art. 277 CC ): elle est ainsi envisageable lorsque l'enfant concerné est jeune, et ne dispose dès lors d'aucun plan de formation défini au moment du jugement (LÜCHINGER/GEISER, op. cit., n° 20 ad ancien art. 156 CC ; cf. également MEIER/STETTLER, Droit de la filiation, 4 e éd. 2009, p. 637 n. 1109, qui soulignent qu'en pratique, de façon systématique, les jugements et conventions d'entretien prévoient une clause relative à l'entretien post-majorité).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 art. 286 al. 2 CC , une fois l'enfant devenu majeur (arrêt 5A_18/2011 du 1 juin 2011 consid. 5.1.2 et les références). En effet, bien qu'en théorie l' 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(cf. arrêt 5A_18/2011 précité consid. 5.1.2 et la référence). Le grief du recourant est en conséquence infondé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